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120" w:rsidRDefault="00E31120">
      <w:pPr>
        <w:contextualSpacing/>
        <w:jc w:val="center"/>
      </w:pPr>
    </w:p>
    <w:p w:rsidR="00E31120" w:rsidRDefault="00E31120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E31120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E31120" w:rsidRDefault="00E31120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E31120" w:rsidRDefault="007514A4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E31120" w:rsidRDefault="007514A4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E31120" w:rsidRDefault="00E31120">
            <w:pPr>
              <w:contextualSpacing/>
              <w:jc w:val="center"/>
              <w:rPr>
                <w:sz w:val="20"/>
              </w:rPr>
            </w:pPr>
          </w:p>
        </w:tc>
      </w:tr>
    </w:tbl>
    <w:p w:rsidR="00E31120" w:rsidRDefault="00E31120">
      <w:pPr>
        <w:spacing w:line="240" w:lineRule="exact"/>
        <w:jc w:val="both"/>
        <w:rPr>
          <w:b/>
        </w:rPr>
      </w:pPr>
    </w:p>
    <w:p w:rsidR="00E31120" w:rsidRDefault="007514A4">
      <w:pPr>
        <w:contextualSpacing/>
        <w:jc w:val="center"/>
        <w:rPr>
          <w:b/>
        </w:rPr>
      </w:pPr>
      <w:r>
        <w:rPr>
          <w:b/>
        </w:rPr>
        <w:t>Особенности допроса несовершеннолетнего потерпевшего и свидетеля в уголовном судопроизводстве</w:t>
      </w:r>
    </w:p>
    <w:p w:rsidR="00E31120" w:rsidRDefault="00E31120">
      <w:pPr>
        <w:jc w:val="both"/>
      </w:pPr>
    </w:p>
    <w:p w:rsidR="00E31120" w:rsidRDefault="007514A4">
      <w:pPr>
        <w:ind w:firstLine="709"/>
        <w:jc w:val="both"/>
      </w:pPr>
      <w:r>
        <w:t xml:space="preserve">Допрос несовершеннолетнего в уголовном процессе имеет ряд особенностей, связанных с его возрастом. </w:t>
      </w:r>
    </w:p>
    <w:p w:rsidR="00E31120" w:rsidRDefault="007514A4">
      <w:pPr>
        <w:ind w:firstLine="709"/>
        <w:jc w:val="both"/>
      </w:pPr>
      <w:r>
        <w:t xml:space="preserve">Лицо </w:t>
      </w:r>
      <w:r>
        <w:t>признается потерпевшим независимо от его возраста. Для защиты прав и законных интересов несовершеннолетних потерпевших к обязательному участию в уголовном деле привлекаются их законные представители.</w:t>
      </w:r>
    </w:p>
    <w:p w:rsidR="00E31120" w:rsidRDefault="007514A4">
      <w:pPr>
        <w:ind w:firstLine="709"/>
        <w:jc w:val="both"/>
      </w:pPr>
      <w:r>
        <w:t>При проведении допроса с участием несовершеннолетнего, н</w:t>
      </w:r>
      <w:r>
        <w:t xml:space="preserve">е достигшего возраста 16 лет, либо </w:t>
      </w:r>
      <w:proofErr w:type="gramStart"/>
      <w:r>
        <w:t>более старшего</w:t>
      </w:r>
      <w:proofErr w:type="gramEnd"/>
      <w:r>
        <w:t xml:space="preserve"> возраста, но страдающего психическим расстройством или отстающего в психическом развитии, обязательно участие педагога или психолога. При этом в делах о преступлениях против половой неприкосновенности несов</w:t>
      </w:r>
      <w:r>
        <w:t>ершеннолетнего участие психолога обязательно.</w:t>
      </w:r>
    </w:p>
    <w:p w:rsidR="00E31120" w:rsidRDefault="007514A4">
      <w:pPr>
        <w:ind w:firstLine="709"/>
        <w:jc w:val="both"/>
      </w:pPr>
      <w:r>
        <w:t>Также при проведении допроса вправе присутствовать законный представитель несовершеннолетнего свидетеля или потерпевшего.</w:t>
      </w:r>
    </w:p>
    <w:p w:rsidR="00E31120" w:rsidRDefault="007514A4">
      <w:pPr>
        <w:ind w:firstLine="709"/>
        <w:jc w:val="both"/>
      </w:pPr>
      <w:r>
        <w:t>Законные представители несовершеннолетнего потерпевшего имеют те же процессуальные права</w:t>
      </w:r>
      <w:r>
        <w:t>, что и несовершеннолетний.</w:t>
      </w:r>
    </w:p>
    <w:p w:rsidR="00E31120" w:rsidRDefault="007514A4">
      <w:pPr>
        <w:ind w:firstLine="709"/>
        <w:jc w:val="both"/>
      </w:pPr>
      <w:r>
        <w:t xml:space="preserve">Законному представителю несовершеннолетнего свидетеля по общему правилу предоставляются, в частности, следующие права: заявлять ходатайства (в том числе о применении мер безопасности), приносить жалобы на действия (бездействие) </w:t>
      </w:r>
      <w:r>
        <w:t>и решения дознавателя, следователя и иных уполномоченных лиц, и органов.</w:t>
      </w:r>
    </w:p>
    <w:p w:rsidR="00E31120" w:rsidRDefault="007514A4">
      <w:pPr>
        <w:ind w:firstLine="709"/>
        <w:jc w:val="both"/>
      </w:pPr>
      <w:r>
        <w:t>Равно как и совершеннолетние лица, свидетели и потерпевшие, не достигшие 18-летнего возраста, вправе пользоваться помощью адвоката и переводчика.</w:t>
      </w:r>
    </w:p>
    <w:p w:rsidR="00E31120" w:rsidRDefault="007514A4">
      <w:pPr>
        <w:ind w:firstLine="709"/>
        <w:jc w:val="both"/>
      </w:pPr>
      <w:r>
        <w:t xml:space="preserve">В </w:t>
      </w:r>
      <w:proofErr w:type="gramStart"/>
      <w:r>
        <w:t>допросе</w:t>
      </w:r>
      <w:proofErr w:type="gramEnd"/>
      <w:r>
        <w:t xml:space="preserve"> в судебном заседании потерп</w:t>
      </w:r>
      <w:r>
        <w:t>евших и свидетелей в возрасте до 16 лет, а по усмотрению суда и в возрасте от 16 до 18 лет, участие педагога или психолога обязательно.</w:t>
      </w:r>
    </w:p>
    <w:p w:rsidR="00E31120" w:rsidRDefault="007514A4">
      <w:pPr>
        <w:ind w:firstLine="709"/>
        <w:jc w:val="both"/>
      </w:pPr>
      <w:r>
        <w:t>При необходимости для участия в допросе несовершеннолетних вызываются также их законные представители, которые могут с р</w:t>
      </w:r>
      <w:r>
        <w:t xml:space="preserve">азрешения председательствующего задавать вопросы </w:t>
      </w:r>
      <w:proofErr w:type="gramStart"/>
      <w:r>
        <w:t>допрашиваемому</w:t>
      </w:r>
      <w:proofErr w:type="gramEnd"/>
      <w:r>
        <w:t>. Допрос потерпевшего или свидетеля, не достигшего возраста 14 лет, проводится с обязательным уча</w:t>
      </w:r>
      <w:bookmarkStart w:id="0" w:name="_GoBack"/>
      <w:bookmarkEnd w:id="0"/>
      <w:r>
        <w:t>стием его законного представителя.</w:t>
      </w:r>
    </w:p>
    <w:p w:rsidR="00E31120" w:rsidRDefault="007514A4">
      <w:pPr>
        <w:ind w:firstLine="709"/>
        <w:jc w:val="both"/>
      </w:pPr>
      <w:r>
        <w:t>Так же как на досудебной стадии, потерпевшие и свидетели в во</w:t>
      </w:r>
      <w:r>
        <w:t>зрасте до 16 лет не предупреждаются об ответственности за отказ от дачи показаний и за дачу заведомо ложных показаний, однако им разъясняется необходимость давать правдивые показания.</w:t>
      </w:r>
    </w:p>
    <w:p w:rsidR="00E31120" w:rsidRDefault="00E31120">
      <w:pPr>
        <w:ind w:firstLine="709"/>
        <w:jc w:val="both"/>
      </w:pPr>
    </w:p>
    <w:p w:rsidR="00E31120" w:rsidRDefault="007514A4" w:rsidP="007514A4">
      <w:pPr>
        <w:jc w:val="right"/>
      </w:pPr>
      <w:r>
        <w:t xml:space="preserve">Пресс-служба </w:t>
      </w:r>
    </w:p>
    <w:p w:rsidR="00E31120" w:rsidRDefault="007514A4" w:rsidP="007514A4">
      <w:pPr>
        <w:jc w:val="right"/>
        <w:rPr>
          <w:sz w:val="20"/>
        </w:rPr>
      </w:pPr>
      <w:r>
        <w:t>Прокуратуры г. Нижневартовска</w:t>
      </w:r>
    </w:p>
    <w:sectPr w:rsidR="00E31120" w:rsidSect="007514A4">
      <w:pgSz w:w="11906" w:h="16838"/>
      <w:pgMar w:top="284" w:right="567" w:bottom="1134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31120"/>
    <w:rsid w:val="007514A4"/>
    <w:rsid w:val="00E3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31120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E31120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E3112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3112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3112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3112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31120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E3112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311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3112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3112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3112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31120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E3112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1"/>
    <w:link w:val="a3"/>
    <w:rsid w:val="00E31120"/>
    <w:rPr>
      <w:rFonts w:asciiTheme="minorHAnsi" w:hAnsiTheme="minorHAnsi"/>
      <w:sz w:val="22"/>
    </w:rPr>
  </w:style>
  <w:style w:type="paragraph" w:styleId="7">
    <w:name w:val="toc 7"/>
    <w:next w:val="a"/>
    <w:link w:val="70"/>
    <w:uiPriority w:val="39"/>
    <w:rsid w:val="00E3112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31120"/>
    <w:rPr>
      <w:rFonts w:ascii="XO Thames" w:hAnsi="XO Thames"/>
      <w:sz w:val="28"/>
    </w:rPr>
  </w:style>
  <w:style w:type="paragraph" w:customStyle="1" w:styleId="Endnote">
    <w:name w:val="Endnote"/>
    <w:link w:val="Endnote0"/>
    <w:rsid w:val="00E3112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E3112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31120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E31120"/>
  </w:style>
  <w:style w:type="character" w:customStyle="1" w:styleId="feeds-pagenavigationtooltip0">
    <w:name w:val="feeds-page__navigation_tooltip"/>
    <w:basedOn w:val="13"/>
    <w:link w:val="feeds-pagenavigationtooltip"/>
    <w:rsid w:val="00E31120"/>
  </w:style>
  <w:style w:type="paragraph" w:styleId="31">
    <w:name w:val="Body Text 3"/>
    <w:basedOn w:val="a"/>
    <w:link w:val="32"/>
    <w:rsid w:val="00E31120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E31120"/>
    <w:rPr>
      <w:sz w:val="16"/>
    </w:rPr>
  </w:style>
  <w:style w:type="paragraph" w:styleId="a5">
    <w:name w:val="Body Text Indent"/>
    <w:basedOn w:val="a"/>
    <w:link w:val="a6"/>
    <w:rsid w:val="00E31120"/>
    <w:pPr>
      <w:ind w:firstLine="709"/>
      <w:jc w:val="both"/>
    </w:pPr>
  </w:style>
  <w:style w:type="character" w:customStyle="1" w:styleId="a6">
    <w:name w:val="Основной текст с отступом Знак"/>
    <w:basedOn w:val="1"/>
    <w:link w:val="a5"/>
    <w:rsid w:val="00E31120"/>
  </w:style>
  <w:style w:type="paragraph" w:customStyle="1" w:styleId="23">
    <w:name w:val="Основной текст2"/>
    <w:basedOn w:val="a"/>
    <w:link w:val="24"/>
    <w:rsid w:val="00E31120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E31120"/>
    <w:rPr>
      <w:rFonts w:ascii="Sylfaen" w:hAnsi="Sylfaen"/>
      <w:sz w:val="25"/>
    </w:rPr>
  </w:style>
  <w:style w:type="paragraph" w:styleId="a7">
    <w:name w:val="Normal (Web)"/>
    <w:basedOn w:val="a"/>
    <w:link w:val="a8"/>
    <w:rsid w:val="00E31120"/>
    <w:pPr>
      <w:spacing w:beforeAutospacing="1" w:afterAutospacing="1"/>
    </w:pPr>
    <w:rPr>
      <w:sz w:val="24"/>
    </w:rPr>
  </w:style>
  <w:style w:type="character" w:customStyle="1" w:styleId="a8">
    <w:name w:val="Обычный (веб) Знак"/>
    <w:basedOn w:val="1"/>
    <w:link w:val="a7"/>
    <w:rsid w:val="00E31120"/>
    <w:rPr>
      <w:sz w:val="24"/>
    </w:rPr>
  </w:style>
  <w:style w:type="paragraph" w:customStyle="1" w:styleId="12">
    <w:name w:val="Основной шрифт абзаца1"/>
    <w:link w:val="13"/>
    <w:rsid w:val="00E31120"/>
  </w:style>
  <w:style w:type="character" w:customStyle="1" w:styleId="13">
    <w:name w:val="Основной шрифт абзаца1"/>
    <w:link w:val="12"/>
    <w:rsid w:val="00E31120"/>
  </w:style>
  <w:style w:type="paragraph" w:styleId="33">
    <w:name w:val="toc 3"/>
    <w:next w:val="a"/>
    <w:link w:val="34"/>
    <w:uiPriority w:val="39"/>
    <w:rsid w:val="00E3112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E3112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31120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E31120"/>
    <w:rPr>
      <w:b/>
      <w:sz w:val="48"/>
    </w:rPr>
  </w:style>
  <w:style w:type="paragraph" w:customStyle="1" w:styleId="25">
    <w:name w:val="Основной шрифт абзаца2"/>
    <w:link w:val="14"/>
    <w:rsid w:val="00E31120"/>
  </w:style>
  <w:style w:type="paragraph" w:customStyle="1" w:styleId="14">
    <w:name w:val="Гиперссылка1"/>
    <w:link w:val="a9"/>
    <w:rsid w:val="00E31120"/>
    <w:rPr>
      <w:color w:val="0000FF"/>
      <w:u w:val="single"/>
    </w:rPr>
  </w:style>
  <w:style w:type="character" w:styleId="a9">
    <w:name w:val="Hyperlink"/>
    <w:link w:val="14"/>
    <w:rsid w:val="00E31120"/>
    <w:rPr>
      <w:color w:val="0000FF"/>
      <w:u w:val="single"/>
    </w:rPr>
  </w:style>
  <w:style w:type="paragraph" w:customStyle="1" w:styleId="Footnote">
    <w:name w:val="Footnote"/>
    <w:link w:val="Footnote0"/>
    <w:rsid w:val="00E3112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31120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E31120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3112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3112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3112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3112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3112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3112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3112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3112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31120"/>
    <w:rPr>
      <w:rFonts w:ascii="XO Thames" w:hAnsi="XO Thames"/>
      <w:sz w:val="28"/>
    </w:rPr>
  </w:style>
  <w:style w:type="paragraph" w:customStyle="1" w:styleId="17">
    <w:name w:val="Обычный1"/>
    <w:link w:val="18"/>
    <w:rsid w:val="00E31120"/>
    <w:rPr>
      <w:rFonts w:ascii="Times New Roman" w:hAnsi="Times New Roman"/>
      <w:sz w:val="28"/>
    </w:rPr>
  </w:style>
  <w:style w:type="character" w:customStyle="1" w:styleId="18">
    <w:name w:val="Обычный1"/>
    <w:link w:val="17"/>
    <w:rsid w:val="00E31120"/>
    <w:rPr>
      <w:rFonts w:ascii="Times New Roman" w:hAnsi="Times New Roman"/>
      <w:sz w:val="28"/>
    </w:rPr>
  </w:style>
  <w:style w:type="paragraph" w:styleId="aa">
    <w:name w:val="Subtitle"/>
    <w:next w:val="a"/>
    <w:link w:val="ab"/>
    <w:uiPriority w:val="11"/>
    <w:qFormat/>
    <w:rsid w:val="00E31120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E31120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E3112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E3112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31120"/>
    <w:rPr>
      <w:rFonts w:ascii="XO Thames" w:hAnsi="XO Thames"/>
      <w:b/>
      <w:sz w:val="24"/>
    </w:rPr>
  </w:style>
  <w:style w:type="paragraph" w:customStyle="1" w:styleId="19">
    <w:name w:val="Гиперссылка1"/>
    <w:link w:val="1a"/>
    <w:rsid w:val="00E31120"/>
    <w:rPr>
      <w:color w:val="0000FF"/>
      <w:u w:val="single"/>
    </w:rPr>
  </w:style>
  <w:style w:type="character" w:customStyle="1" w:styleId="1a">
    <w:name w:val="Гиперссылка1"/>
    <w:link w:val="19"/>
    <w:rsid w:val="00E31120"/>
    <w:rPr>
      <w:color w:val="0000FF"/>
      <w:u w:val="single"/>
    </w:rPr>
  </w:style>
  <w:style w:type="character" w:customStyle="1" w:styleId="20">
    <w:name w:val="Заголовок 2 Знак"/>
    <w:link w:val="2"/>
    <w:rsid w:val="00E31120"/>
    <w:rPr>
      <w:rFonts w:ascii="XO Thames" w:hAnsi="XO Thames"/>
      <w:b/>
      <w:sz w:val="28"/>
    </w:rPr>
  </w:style>
  <w:style w:type="paragraph" w:styleId="ae">
    <w:name w:val="No Spacing"/>
    <w:link w:val="af"/>
    <w:rsid w:val="00E31120"/>
    <w:rPr>
      <w:sz w:val="22"/>
    </w:rPr>
  </w:style>
  <w:style w:type="character" w:customStyle="1" w:styleId="af">
    <w:name w:val="Без интервала Знак"/>
    <w:link w:val="ae"/>
    <w:rsid w:val="00E31120"/>
    <w:rPr>
      <w:sz w:val="22"/>
    </w:rPr>
  </w:style>
  <w:style w:type="paragraph" w:styleId="af0">
    <w:name w:val="Balloon Text"/>
    <w:basedOn w:val="a"/>
    <w:link w:val="af1"/>
    <w:rsid w:val="00E31120"/>
    <w:rPr>
      <w:rFonts w:ascii="Segoe UI" w:hAnsi="Segoe UI"/>
      <w:sz w:val="18"/>
    </w:rPr>
  </w:style>
  <w:style w:type="character" w:customStyle="1" w:styleId="af1">
    <w:name w:val="Текст выноски Знак"/>
    <w:basedOn w:val="1"/>
    <w:link w:val="af0"/>
    <w:rsid w:val="00E31120"/>
    <w:rPr>
      <w:rFonts w:ascii="Segoe UI" w:hAnsi="Segoe UI"/>
      <w:sz w:val="18"/>
    </w:rPr>
  </w:style>
  <w:style w:type="table" w:styleId="af2">
    <w:name w:val="Table Grid"/>
    <w:basedOn w:val="a1"/>
    <w:rsid w:val="00E311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Company>MUBIS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2026-10-30T11:49:00Z</dcterms:modified>
</cp:coreProperties>
</file>